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136D2">
      <w:pPr>
        <w:bidi w:val="0"/>
        <w:rPr>
          <w:lang w:val="en-US" w:eastAsia="zh-CN"/>
        </w:rPr>
      </w:pPr>
    </w:p>
    <w:p w14:paraId="7BEBB4F7">
      <w:pPr>
        <w:spacing w:line="480" w:lineRule="auto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cs="Times New Roman"/>
          <w:b/>
          <w:bCs/>
          <w:sz w:val="20"/>
          <w:szCs w:val="20"/>
        </w:rPr>
        <w:t xml:space="preserve">Fig.S1 </w:t>
      </w:r>
      <w:r>
        <w:rPr>
          <w:rFonts w:cs="Times New Roman"/>
          <w:sz w:val="20"/>
          <w:szCs w:val="20"/>
        </w:rPr>
        <w:t xml:space="preserve">The score differences between OC </w:t>
      </w:r>
      <w:bookmarkStart w:id="0" w:name="_GoBack"/>
      <w:bookmarkEnd w:id="0"/>
      <w:r>
        <w:rPr>
          <w:rFonts w:cs="Times New Roman"/>
          <w:sz w:val="20"/>
          <w:szCs w:val="20"/>
        </w:rPr>
        <w:t>and normal controls. A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 xml:space="preserve"> PCD score. B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>RM score.</w:t>
      </w:r>
      <w:r>
        <w:rPr>
          <w:rFonts w:hint="eastAsia" w:cs="Times New Roman"/>
          <w:sz w:val="20"/>
          <w:szCs w:val="20"/>
          <w:lang w:val="en-US" w:eastAsia="zh-CN"/>
        </w:rPr>
        <w:t xml:space="preserve">  *P &lt; 0.05, **P &lt; 0.01, ***P &lt; 0.001; NS, not significant.</w:t>
      </w:r>
    </w:p>
    <w:p w14:paraId="1C8A5C5C">
      <w:pPr>
        <w:spacing w:line="480" w:lineRule="auto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Fig.S2 </w:t>
      </w:r>
      <w:r>
        <w:rPr>
          <w:rFonts w:cs="Times New Roman"/>
          <w:sz w:val="20"/>
          <w:szCs w:val="20"/>
        </w:rPr>
        <w:t>The sample clustering in TCGA-OC.</w:t>
      </w:r>
    </w:p>
    <w:p w14:paraId="0305F198">
      <w:pPr>
        <w:spacing w:line="480" w:lineRule="auto"/>
        <w:rPr>
          <w:rFonts w:cs="Times New Roman"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Fig.S3 </w:t>
      </w:r>
      <w:r>
        <w:rPr>
          <w:rFonts w:cs="Times New Roman"/>
          <w:sz w:val="20"/>
          <w:szCs w:val="20"/>
        </w:rPr>
        <w:t xml:space="preserve">The GSVA between the </w:t>
      </w:r>
      <w:r>
        <w:rPr>
          <w:rFonts w:cs="Times New Roman"/>
          <w:bCs/>
          <w:sz w:val="20"/>
          <w:szCs w:val="20"/>
        </w:rPr>
        <w:t>2 score subgroups (PCD score).</w:t>
      </w:r>
    </w:p>
    <w:p w14:paraId="1612023A">
      <w:pPr>
        <w:spacing w:line="480" w:lineRule="auto"/>
        <w:rPr>
          <w:rFonts w:cs="Times New Roman"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Fig.S4</w:t>
      </w:r>
      <w:r>
        <w:rPr>
          <w:rFonts w:cs="Times New Roman"/>
          <w:sz w:val="20"/>
          <w:szCs w:val="20"/>
        </w:rPr>
        <w:t xml:space="preserve"> Spearman’s correlation between the drugs and </w:t>
      </w:r>
      <w:r>
        <w:rPr>
          <w:rFonts w:cs="Times New Roman"/>
          <w:bCs/>
          <w:sz w:val="20"/>
          <w:szCs w:val="20"/>
        </w:rPr>
        <w:t xml:space="preserve">prognostic genes. </w:t>
      </w:r>
    </w:p>
    <w:p w14:paraId="4BEC32C7">
      <w:pPr>
        <w:spacing w:line="480" w:lineRule="auto"/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cs="Times New Roman"/>
          <w:b/>
          <w:bCs/>
          <w:sz w:val="20"/>
          <w:szCs w:val="20"/>
        </w:rPr>
        <w:t xml:space="preserve">Fig.S5 </w:t>
      </w:r>
      <w:r>
        <w:rPr>
          <w:rFonts w:cs="Times New Roman"/>
          <w:sz w:val="20"/>
          <w:szCs w:val="20"/>
        </w:rPr>
        <w:t>The pre-processing of E-MTAB-8107. A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 xml:space="preserve"> The QC of E-MTAB-8107. B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eastAsia="宋体" w:cs="Times New Roman"/>
          <w:sz w:val="20"/>
          <w:szCs w:val="20"/>
        </w:rPr>
        <w:t xml:space="preserve">The top 2,000 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highly variable genes. C</w:t>
      </w:r>
      <w:r>
        <w:rPr>
          <w:rFonts w:hint="eastAsia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Dimensionality reduction analysis.</w:t>
      </w:r>
    </w:p>
    <w:p w14:paraId="3F64E69E">
      <w:pPr>
        <w:spacing w:line="480" w:lineRule="auto"/>
        <w:rPr>
          <w:rFonts w:hint="eastAsia" w:cs="Times New Roman" w:eastAsiaTheme="minorEastAsia"/>
          <w:sz w:val="20"/>
          <w:szCs w:val="20"/>
          <w:lang w:val="en-US" w:eastAsia="zh-CN"/>
        </w:rPr>
      </w:pPr>
      <w:r>
        <w:rPr>
          <w:rFonts w:cs="Times New Roman"/>
          <w:b/>
          <w:bCs/>
          <w:sz w:val="20"/>
          <w:szCs w:val="20"/>
        </w:rPr>
        <w:t xml:space="preserve">Fig.S6 </w:t>
      </w:r>
      <w:r>
        <w:rPr>
          <w:rFonts w:cs="Times New Roman"/>
          <w:sz w:val="20"/>
          <w:szCs w:val="20"/>
        </w:rPr>
        <w:t>The score differences in different cell types between OC and normal controls. A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 xml:space="preserve"> PCD score. B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>RM score.</w:t>
      </w:r>
      <w:r>
        <w:rPr>
          <w:rFonts w:hint="eastAsia" w:cs="Times New Roman"/>
          <w:sz w:val="20"/>
          <w:szCs w:val="20"/>
        </w:rPr>
        <w:t xml:space="preserve"> *P &lt; 0.05, **P &lt; 0.01, ***P &lt; 0.001; NS, not significant.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</w:p>
    <w:p w14:paraId="1CF00B93">
      <w:pPr>
        <w:spacing w:line="480" w:lineRule="auto"/>
        <w:rPr>
          <w:rFonts w:cs="Times New Roman"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Fig.S7</w:t>
      </w:r>
      <w:r>
        <w:rPr>
          <w:rFonts w:cs="Times New Roman"/>
          <w:sz w:val="20"/>
          <w:szCs w:val="20"/>
        </w:rPr>
        <w:t xml:space="preserve"> The expression of </w:t>
      </w:r>
      <w:r>
        <w:rPr>
          <w:rFonts w:cs="Times New Roman"/>
          <w:bCs/>
          <w:sz w:val="20"/>
          <w:szCs w:val="20"/>
        </w:rPr>
        <w:t>prognostic genes. A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</w:t>
      </w:r>
      <w:r>
        <w:rPr>
          <w:rFonts w:cs="Times New Roman"/>
          <w:bCs/>
          <w:sz w:val="20"/>
          <w:szCs w:val="20"/>
        </w:rPr>
        <w:t xml:space="preserve"> The UMAP plot. B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</w:t>
      </w:r>
      <w:r>
        <w:rPr>
          <w:rFonts w:cs="Times New Roman"/>
          <w:bCs/>
          <w:sz w:val="20"/>
          <w:szCs w:val="20"/>
        </w:rPr>
        <w:t xml:space="preserve"> The violin plot.</w:t>
      </w:r>
    </w:p>
    <w:p w14:paraId="3FF8C784">
      <w:pPr>
        <w:spacing w:line="480" w:lineRule="auto"/>
        <w:rPr>
          <w:rFonts w:cs="Times New Roman"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Fig.S8</w:t>
      </w:r>
      <w:r>
        <w:rPr>
          <w:rFonts w:cs="Times New Roman"/>
          <w:sz w:val="20"/>
          <w:szCs w:val="20"/>
        </w:rPr>
        <w:t xml:space="preserve"> The expression differences of </w:t>
      </w:r>
      <w:r>
        <w:rPr>
          <w:rFonts w:cs="Times New Roman"/>
          <w:bCs/>
          <w:sz w:val="20"/>
          <w:szCs w:val="20"/>
        </w:rPr>
        <w:t>prognostic genes in different cell types.</w:t>
      </w:r>
    </w:p>
    <w:p w14:paraId="460AE6DF">
      <w:pPr>
        <w:spacing w:line="480" w:lineRule="auto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Fig.S9</w:t>
      </w:r>
      <w:r>
        <w:rPr>
          <w:rFonts w:cs="Times New Roman"/>
          <w:sz w:val="20"/>
          <w:szCs w:val="20"/>
        </w:rPr>
        <w:t xml:space="preserve"> The receptor-ligand pairs of cell chat. A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 xml:space="preserve"> OC group. B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cs="Times New Roman"/>
          <w:sz w:val="20"/>
          <w:szCs w:val="20"/>
        </w:rPr>
        <w:t xml:space="preserve"> Normal controls.</w:t>
      </w:r>
    </w:p>
    <w:p w14:paraId="2B47E3A3">
      <w:pPr>
        <w:spacing w:line="480" w:lineRule="auto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Fig.S10 </w:t>
      </w:r>
      <w:r>
        <w:rPr>
          <w:rFonts w:cs="Times New Roman"/>
          <w:sz w:val="20"/>
          <w:szCs w:val="20"/>
        </w:rPr>
        <w:t xml:space="preserve">The expression of </w:t>
      </w:r>
      <w:r>
        <w:rPr>
          <w:rFonts w:cs="Times New Roman"/>
          <w:bCs/>
          <w:sz w:val="20"/>
          <w:szCs w:val="20"/>
        </w:rPr>
        <w:t xml:space="preserve">prognostic genes in different </w:t>
      </w:r>
      <w:r>
        <w:rPr>
          <w:rFonts w:cs="Times New Roman"/>
          <w:sz w:val="20"/>
          <w:szCs w:val="20"/>
        </w:rPr>
        <w:t>differentiation of fibroblasts.</w:t>
      </w:r>
    </w:p>
    <w:p w14:paraId="3D0E425E">
      <w:pPr>
        <w:keepNext w:val="0"/>
        <w:keepLines w:val="0"/>
        <w:widowControl/>
        <w:suppressLineNumbers w:val="0"/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cs="Times New Roman"/>
          <w:b/>
          <w:bCs/>
          <w:sz w:val="20"/>
          <w:szCs w:val="20"/>
        </w:rPr>
        <w:t>Fig.S1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1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The mRNA expression of  </w:t>
      </w:r>
      <w:r>
        <w:rPr>
          <w:rFonts w:hint="eastAsia" w:cs="Times New Roman"/>
          <w:sz w:val="20"/>
          <w:szCs w:val="20"/>
          <w:lang w:val="en-US" w:eastAsia="zh-CN"/>
        </w:rPr>
        <w:t xml:space="preserve">five </w:t>
      </w:r>
      <w:r>
        <w:rPr>
          <w:rFonts w:cs="Times New Roman"/>
          <w:bCs/>
          <w:sz w:val="20"/>
          <w:szCs w:val="20"/>
        </w:rPr>
        <w:t>progno</w:t>
      </w:r>
      <w:r>
        <w:rPr>
          <w:rFonts w:cs="Times New Roman"/>
          <w:sz w:val="20"/>
          <w:szCs w:val="20"/>
        </w:rPr>
        <w:t xml:space="preserve">stic genesin </w:t>
      </w:r>
      <w:r>
        <w:rPr>
          <w:rFonts w:hint="eastAsia" w:cs="Times New Roman"/>
          <w:sz w:val="20"/>
          <w:szCs w:val="20"/>
          <w:lang w:val="en-US" w:eastAsia="zh-CN"/>
        </w:rPr>
        <w:t>t</w:t>
      </w:r>
      <w:r>
        <w:rPr>
          <w:rFonts w:cs="Times New Roman"/>
          <w:sz w:val="20"/>
          <w:szCs w:val="20"/>
        </w:rPr>
        <w:t>umor samples (</w:t>
      </w:r>
      <w:r>
        <w:rPr>
          <w:rFonts w:hint="eastAsia" w:cs="Times New Roman"/>
          <w:sz w:val="20"/>
          <w:szCs w:val="20"/>
          <w:lang w:val="en-US" w:eastAsia="zh-CN"/>
        </w:rPr>
        <w:t>OC</w:t>
      </w:r>
      <w:r>
        <w:rPr>
          <w:rFonts w:cs="Times New Roman"/>
          <w:sz w:val="20"/>
          <w:szCs w:val="20"/>
        </w:rPr>
        <w:t>) and normal ovarian tissues (</w:t>
      </w:r>
      <w:r>
        <w:rPr>
          <w:rFonts w:hint="eastAsia" w:cs="Times New Roman"/>
          <w:sz w:val="20"/>
          <w:szCs w:val="20"/>
          <w:lang w:val="en-US" w:eastAsia="zh-CN"/>
        </w:rPr>
        <w:t>Control</w:t>
      </w:r>
      <w:r>
        <w:rPr>
          <w:rFonts w:cs="Times New Roman"/>
          <w:sz w:val="20"/>
          <w:szCs w:val="20"/>
        </w:rPr>
        <w:t>) was tested by qRT-PCR</w:t>
      </w:r>
      <w:r>
        <w:rPr>
          <w:rFonts w:hint="eastAsia" w:cs="Times New Roman"/>
          <w:sz w:val="20"/>
          <w:szCs w:val="20"/>
          <w:lang w:val="en-US" w:eastAsia="zh-CN"/>
        </w:rPr>
        <w:t xml:space="preserve">. </w:t>
      </w:r>
    </w:p>
    <w:p w14:paraId="08D83764">
      <w:pPr>
        <w:keepNext w:val="0"/>
        <w:keepLines w:val="0"/>
        <w:widowControl/>
        <w:suppressLineNumbers w:val="0"/>
        <w:jc w:val="left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Fig.S1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2</w:t>
      </w:r>
      <w:r>
        <w:rPr>
          <w:rFonts w:cs="Times New Roman"/>
          <w:sz w:val="20"/>
          <w:szCs w:val="20"/>
        </w:rPr>
        <w:t xml:space="preserve">The expression of CASP2 protein in OC was tested by </w:t>
      </w:r>
      <w:r>
        <w:rPr>
          <w:rFonts w:hint="eastAsia" w:cs="Times New Roman"/>
          <w:sz w:val="20"/>
          <w:szCs w:val="20"/>
          <w:lang w:val="en-US" w:eastAsia="zh-CN"/>
        </w:rPr>
        <w:t>IHC.</w:t>
      </w:r>
    </w:p>
    <w:p w14:paraId="1AE8A91D">
      <w:pPr>
        <w:spacing w:line="480" w:lineRule="auto"/>
        <w:rPr>
          <w:rFonts w:hint="eastAsia" w:cs="Times New Roman" w:eastAsiaTheme="minorEastAsia"/>
          <w:b/>
          <w:bCs/>
          <w:sz w:val="20"/>
          <w:szCs w:val="20"/>
          <w:lang w:val="en-US" w:eastAsia="zh-CN"/>
        </w:rPr>
      </w:pPr>
    </w:p>
    <w:p w14:paraId="697C2AEE">
      <w:pPr>
        <w:bidi w:val="0"/>
        <w:ind w:firstLine="565" w:firstLineChars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F5DE7"/>
    <w:rsid w:val="24A404C7"/>
    <w:rsid w:val="517E67A6"/>
    <w:rsid w:val="63AD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1018</Characters>
  <Lines>0</Lines>
  <Paragraphs>0</Paragraphs>
  <TotalTime>42</TotalTime>
  <ScaleCrop>false</ScaleCrop>
  <LinksUpToDate>false</LinksUpToDate>
  <CharactersWithSpaces>1214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2025-07-06T13:48:00Z</dcterms:created>
  <dc:creator>Lenovo</dc:creator>
  <cp:lastModifiedBy>Jerry</cp:lastModifiedBy>
  <dcterms:modified xsi:type="dcterms:W3CDTF">2026-08-09T14:03:28Z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eyJoZGlkIjoiNTU0ZmIwYTQ3NzlmZGUxZmU3Zjk0M2IyZTNmM2IxNjAiLCJ1c2VySWQiOiI0MDU1NDIzOTgifQ==</vt:lpwstr>
  </property>
  <property fmtid="{D5CDD505-2E9C-101B-9397-08002B2CF9AE}" pid="4" name="ICV">
    <vt:lpwstr>0A23A5CC990646FA9A3829859256A1DB_12</vt:lpwstr>
  </property>
</Properties>
</file>